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shd w:val="clear" w:color="auto" w:fill="FFFFFF"/>
        <w:tblCellMar>
          <w:left w:w="175" w:type="dxa"/>
          <w:right w:w="175" w:type="dxa"/>
        </w:tblCellMar>
        <w:tblLook w:val="04A0"/>
      </w:tblPr>
      <w:tblGrid>
        <w:gridCol w:w="10107"/>
      </w:tblGrid>
      <w:tr w:rsidR="00C82F0C" w:rsidRPr="004F5386" w:rsidTr="00D20416">
        <w:trPr>
          <w:tblCellSpacing w:w="0" w:type="dxa"/>
        </w:trPr>
        <w:tc>
          <w:tcPr>
            <w:tcW w:w="10518" w:type="dxa"/>
            <w:shd w:val="clear" w:color="auto" w:fill="FFFFFF"/>
            <w:tcMar>
              <w:top w:w="125" w:type="dxa"/>
              <w:left w:w="376" w:type="dxa"/>
              <w:bottom w:w="125" w:type="dxa"/>
              <w:right w:w="376" w:type="dxa"/>
            </w:tcMar>
            <w:hideMark/>
          </w:tcPr>
          <w:p w:rsidR="00C82F0C" w:rsidRPr="004F5386" w:rsidRDefault="00C82F0C" w:rsidP="00D20416">
            <w:pPr>
              <w:spacing w:after="0" w:line="240" w:lineRule="auto"/>
              <w:jc w:val="right"/>
              <w:rPr>
                <w:rFonts w:ascii="Times New Roman" w:hAnsi="Times New Roman"/>
                <w:color w:val="999999"/>
                <w:sz w:val="28"/>
                <w:szCs w:val="28"/>
              </w:rPr>
            </w:pPr>
            <w:r w:rsidRPr="004F5386">
              <w:rPr>
                <w:rFonts w:ascii="Times New Roman" w:hAnsi="Times New Roman"/>
                <w:color w:val="999999"/>
                <w:sz w:val="28"/>
                <w:szCs w:val="28"/>
              </w:rPr>
              <w:t>28 мая 2014</w:t>
            </w:r>
          </w:p>
          <w:p w:rsidR="00C82F0C" w:rsidRDefault="00C82F0C" w:rsidP="00D20416">
            <w:pPr>
              <w:spacing w:after="0" w:line="240" w:lineRule="auto"/>
              <w:jc w:val="center"/>
              <w:outlineLvl w:val="2"/>
              <w:rPr>
                <w:rFonts w:ascii="Times New Roman" w:hAnsi="Times New Roman"/>
                <w:b/>
                <w:bCs/>
                <w:color w:val="003C80"/>
                <w:sz w:val="28"/>
                <w:szCs w:val="28"/>
              </w:rPr>
            </w:pPr>
            <w:r w:rsidRPr="004F5386">
              <w:rPr>
                <w:rFonts w:ascii="Times New Roman" w:hAnsi="Times New Roman"/>
                <w:b/>
                <w:bCs/>
                <w:color w:val="003C80"/>
                <w:sz w:val="28"/>
                <w:szCs w:val="28"/>
              </w:rPr>
              <w:t>Приказ</w:t>
            </w:r>
          </w:p>
          <w:p w:rsidR="00C82F0C" w:rsidRDefault="00C82F0C" w:rsidP="00D20416">
            <w:pPr>
              <w:spacing w:after="0" w:line="240" w:lineRule="auto"/>
              <w:jc w:val="center"/>
              <w:outlineLvl w:val="2"/>
              <w:rPr>
                <w:rFonts w:ascii="Times New Roman" w:hAnsi="Times New Roman"/>
                <w:b/>
                <w:bCs/>
                <w:color w:val="003C80"/>
                <w:sz w:val="28"/>
                <w:szCs w:val="28"/>
              </w:rPr>
            </w:pPr>
            <w:r w:rsidRPr="004F5386">
              <w:rPr>
                <w:rFonts w:ascii="Times New Roman" w:hAnsi="Times New Roman"/>
                <w:b/>
                <w:bCs/>
                <w:color w:val="003C80"/>
                <w:sz w:val="28"/>
                <w:szCs w:val="28"/>
              </w:rPr>
              <w:t xml:space="preserve">Министерства образования и науки РФ от 7 апреля 2014 г. </w:t>
            </w:r>
          </w:p>
          <w:p w:rsidR="00C82F0C" w:rsidRDefault="00C82F0C" w:rsidP="00D20416">
            <w:pPr>
              <w:spacing w:after="0" w:line="240" w:lineRule="auto"/>
              <w:jc w:val="center"/>
              <w:outlineLvl w:val="2"/>
              <w:rPr>
                <w:rFonts w:ascii="Times New Roman" w:hAnsi="Times New Roman"/>
                <w:b/>
                <w:bCs/>
                <w:color w:val="003C80"/>
                <w:sz w:val="28"/>
                <w:szCs w:val="28"/>
              </w:rPr>
            </w:pPr>
            <w:r w:rsidRPr="004F5386">
              <w:rPr>
                <w:rFonts w:ascii="Times New Roman" w:hAnsi="Times New Roman"/>
                <w:b/>
                <w:bCs/>
                <w:color w:val="003C80"/>
                <w:sz w:val="28"/>
                <w:szCs w:val="28"/>
              </w:rPr>
              <w:t>№ 276</w:t>
            </w:r>
            <w:r>
              <w:rPr>
                <w:rFonts w:ascii="Times New Roman" w:hAnsi="Times New Roman"/>
                <w:b/>
                <w:bCs/>
                <w:color w:val="003C80"/>
                <w:sz w:val="28"/>
                <w:szCs w:val="28"/>
              </w:rPr>
              <w:t xml:space="preserve"> </w:t>
            </w:r>
            <w:r w:rsidRPr="004F5386">
              <w:rPr>
                <w:rFonts w:ascii="Times New Roman" w:hAnsi="Times New Roman"/>
                <w:b/>
                <w:bCs/>
                <w:color w:val="003C80"/>
                <w:sz w:val="28"/>
                <w:szCs w:val="28"/>
              </w:rPr>
              <w:t xml:space="preserve">"Об утверждении Порядка проведения аттестации педагогических работников организаций, </w:t>
            </w:r>
          </w:p>
          <w:p w:rsidR="00C82F0C" w:rsidRDefault="00C82F0C" w:rsidP="00D20416">
            <w:pPr>
              <w:spacing w:after="0" w:line="240" w:lineRule="auto"/>
              <w:jc w:val="center"/>
              <w:outlineLvl w:val="2"/>
              <w:rPr>
                <w:rFonts w:ascii="Times New Roman" w:hAnsi="Times New Roman"/>
                <w:b/>
                <w:bCs/>
                <w:color w:val="003C80"/>
                <w:sz w:val="28"/>
                <w:szCs w:val="28"/>
              </w:rPr>
            </w:pPr>
            <w:r w:rsidRPr="004F5386">
              <w:rPr>
                <w:rFonts w:ascii="Times New Roman" w:hAnsi="Times New Roman"/>
                <w:b/>
                <w:bCs/>
                <w:color w:val="003C80"/>
                <w:sz w:val="28"/>
                <w:szCs w:val="28"/>
              </w:rPr>
              <w:t>осуществляющих образовательную деятельность"</w:t>
            </w:r>
          </w:p>
          <w:p w:rsidR="00C82F0C" w:rsidRPr="004F5386" w:rsidRDefault="00C82F0C" w:rsidP="00D20416">
            <w:pPr>
              <w:spacing w:after="0" w:line="240" w:lineRule="auto"/>
              <w:jc w:val="center"/>
              <w:outlineLvl w:val="2"/>
              <w:rPr>
                <w:rFonts w:ascii="Times New Roman" w:hAnsi="Times New Roman"/>
                <w:b/>
                <w:bCs/>
                <w:color w:val="003C80"/>
                <w:sz w:val="28"/>
                <w:szCs w:val="28"/>
              </w:rPr>
            </w:pPr>
          </w:p>
          <w:p w:rsidR="00C82F0C" w:rsidRPr="004F5386" w:rsidRDefault="00C82F0C" w:rsidP="00D20416">
            <w:pPr>
              <w:spacing w:after="0" w:line="240" w:lineRule="auto"/>
              <w:jc w:val="both"/>
              <w:rPr>
                <w:rFonts w:ascii="Times New Roman" w:hAnsi="Times New Roman"/>
                <w:color w:val="000000"/>
                <w:sz w:val="28"/>
                <w:szCs w:val="28"/>
              </w:rPr>
            </w:pPr>
            <w:bookmarkStart w:id="0" w:name="0"/>
            <w:bookmarkEnd w:id="0"/>
            <w:r>
              <w:rPr>
                <w:rFonts w:ascii="Times New Roman" w:hAnsi="Times New Roman"/>
                <w:color w:val="000000"/>
                <w:sz w:val="28"/>
                <w:szCs w:val="28"/>
              </w:rPr>
              <w:t xml:space="preserve">            </w:t>
            </w:r>
            <w:r w:rsidRPr="004F5386">
              <w:rPr>
                <w:rFonts w:ascii="Times New Roman" w:hAnsi="Times New Roman"/>
                <w:color w:val="000000"/>
                <w:sz w:val="28"/>
                <w:szCs w:val="28"/>
              </w:rPr>
              <w:t>В соответствии с частью 4 статьи 49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и подпунктом 5.2.28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2014, № 2, ст. 126; № 6, ст. 582) приказываю:</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1.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Порядка, указанного в пункте 1 настоящего приказа, сохраняются в течение срока, на который они были установлены.</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3. Признать утратившим силу приказ Министерства образования и науки Российской Федерации от 24 марта 2010 г. №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 16999).</w:t>
            </w:r>
          </w:p>
          <w:tbl>
            <w:tblPr>
              <w:tblW w:w="0" w:type="auto"/>
              <w:tblCellSpacing w:w="15" w:type="dxa"/>
              <w:tblCellMar>
                <w:top w:w="15" w:type="dxa"/>
                <w:left w:w="15" w:type="dxa"/>
                <w:bottom w:w="15" w:type="dxa"/>
                <w:right w:w="15" w:type="dxa"/>
              </w:tblCellMar>
              <w:tblLook w:val="04A0"/>
            </w:tblPr>
            <w:tblGrid>
              <w:gridCol w:w="3082"/>
              <w:gridCol w:w="3082"/>
            </w:tblGrid>
            <w:tr w:rsidR="00C82F0C" w:rsidRPr="004F5386" w:rsidTr="00D20416">
              <w:trPr>
                <w:tblCellSpacing w:w="15" w:type="dxa"/>
              </w:trPr>
              <w:tc>
                <w:tcPr>
                  <w:tcW w:w="2500" w:type="pct"/>
                  <w:vAlign w:val="center"/>
                  <w:hideMark/>
                </w:tcPr>
                <w:p w:rsidR="00C82F0C" w:rsidRDefault="00C82F0C" w:rsidP="00D20416">
                  <w:pPr>
                    <w:spacing w:after="0" w:line="240" w:lineRule="auto"/>
                    <w:jc w:val="both"/>
                    <w:rPr>
                      <w:rFonts w:ascii="Times New Roman" w:hAnsi="Times New Roman"/>
                      <w:sz w:val="28"/>
                      <w:szCs w:val="28"/>
                    </w:rPr>
                  </w:pPr>
                </w:p>
                <w:p w:rsidR="00C82F0C" w:rsidRPr="004F5386" w:rsidRDefault="00C82F0C" w:rsidP="00D20416">
                  <w:pPr>
                    <w:spacing w:after="0" w:line="240" w:lineRule="auto"/>
                    <w:jc w:val="both"/>
                    <w:rPr>
                      <w:rFonts w:ascii="Times New Roman" w:hAnsi="Times New Roman"/>
                      <w:sz w:val="28"/>
                      <w:szCs w:val="28"/>
                    </w:rPr>
                  </w:pPr>
                  <w:r w:rsidRPr="004F5386">
                    <w:rPr>
                      <w:rFonts w:ascii="Times New Roman" w:hAnsi="Times New Roman"/>
                      <w:sz w:val="28"/>
                      <w:szCs w:val="28"/>
                    </w:rPr>
                    <w:t xml:space="preserve">Министр </w:t>
                  </w:r>
                </w:p>
              </w:tc>
              <w:tc>
                <w:tcPr>
                  <w:tcW w:w="2500" w:type="pct"/>
                  <w:vAlign w:val="center"/>
                  <w:hideMark/>
                </w:tcPr>
                <w:p w:rsidR="00C82F0C" w:rsidRDefault="00C82F0C" w:rsidP="00D20416">
                  <w:pPr>
                    <w:spacing w:after="0" w:line="240" w:lineRule="auto"/>
                    <w:jc w:val="both"/>
                    <w:rPr>
                      <w:rFonts w:ascii="Times New Roman" w:hAnsi="Times New Roman"/>
                      <w:sz w:val="28"/>
                      <w:szCs w:val="28"/>
                    </w:rPr>
                  </w:pPr>
                </w:p>
                <w:p w:rsidR="00C82F0C" w:rsidRPr="004F5386" w:rsidRDefault="00C82F0C" w:rsidP="00D20416">
                  <w:pPr>
                    <w:spacing w:after="0" w:line="240" w:lineRule="auto"/>
                    <w:jc w:val="both"/>
                    <w:rPr>
                      <w:rFonts w:ascii="Times New Roman" w:hAnsi="Times New Roman"/>
                      <w:sz w:val="28"/>
                      <w:szCs w:val="28"/>
                    </w:rPr>
                  </w:pPr>
                  <w:r>
                    <w:rPr>
                      <w:rFonts w:ascii="Times New Roman" w:hAnsi="Times New Roman"/>
                      <w:sz w:val="28"/>
                      <w:szCs w:val="28"/>
                    </w:rPr>
                    <w:t xml:space="preserve">                    </w:t>
                  </w:r>
                  <w:r w:rsidRPr="004F5386">
                    <w:rPr>
                      <w:rFonts w:ascii="Times New Roman" w:hAnsi="Times New Roman"/>
                      <w:sz w:val="28"/>
                      <w:szCs w:val="28"/>
                    </w:rPr>
                    <w:t xml:space="preserve">Д.В. Ливанов </w:t>
                  </w:r>
                </w:p>
              </w:tc>
            </w:tr>
          </w:tbl>
          <w:p w:rsidR="00C82F0C" w:rsidRDefault="00C82F0C" w:rsidP="00D20416">
            <w:pPr>
              <w:spacing w:after="0" w:line="240" w:lineRule="auto"/>
              <w:jc w:val="both"/>
              <w:rPr>
                <w:rFonts w:ascii="Times New Roman" w:hAnsi="Times New Roman"/>
                <w:color w:val="000000"/>
                <w:sz w:val="28"/>
                <w:szCs w:val="28"/>
              </w:rPr>
            </w:pPr>
          </w:p>
          <w:p w:rsidR="00C82F0C" w:rsidRDefault="00C82F0C" w:rsidP="00D20416">
            <w:pPr>
              <w:spacing w:after="0" w:line="240" w:lineRule="auto"/>
              <w:jc w:val="both"/>
              <w:rPr>
                <w:rFonts w:ascii="Times New Roman" w:hAnsi="Times New Roman"/>
                <w:color w:val="000000"/>
                <w:sz w:val="28"/>
                <w:szCs w:val="28"/>
              </w:rPr>
            </w:pP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Зарегистрировано в Минюсте РФ 23 мая 2014 г.</w:t>
            </w:r>
            <w:r w:rsidRPr="004F5386">
              <w:rPr>
                <w:rFonts w:ascii="Times New Roman" w:hAnsi="Times New Roman"/>
                <w:color w:val="000000"/>
                <w:sz w:val="28"/>
                <w:szCs w:val="28"/>
              </w:rPr>
              <w:br/>
              <w:t>Регистрационный № 32408</w:t>
            </w:r>
          </w:p>
          <w:p w:rsidR="00C82F0C" w:rsidRDefault="00C82F0C" w:rsidP="00D20416">
            <w:pPr>
              <w:spacing w:after="0" w:line="240" w:lineRule="auto"/>
              <w:jc w:val="both"/>
              <w:rPr>
                <w:rFonts w:ascii="Times New Roman" w:hAnsi="Times New Roman"/>
                <w:color w:val="000000"/>
                <w:sz w:val="28"/>
                <w:szCs w:val="28"/>
              </w:rPr>
            </w:pPr>
          </w:p>
          <w:p w:rsidR="00C82F0C" w:rsidRDefault="00C82F0C" w:rsidP="00D20416">
            <w:pPr>
              <w:spacing w:after="0" w:line="240" w:lineRule="auto"/>
              <w:jc w:val="both"/>
              <w:rPr>
                <w:rFonts w:ascii="Times New Roman" w:hAnsi="Times New Roman"/>
                <w:color w:val="000000"/>
                <w:sz w:val="28"/>
                <w:szCs w:val="28"/>
              </w:rPr>
            </w:pPr>
          </w:p>
          <w:p w:rsidR="00C82F0C" w:rsidRDefault="00C82F0C" w:rsidP="00D20416">
            <w:pPr>
              <w:spacing w:after="0" w:line="240" w:lineRule="auto"/>
              <w:jc w:val="both"/>
              <w:rPr>
                <w:rFonts w:ascii="Times New Roman" w:hAnsi="Times New Roman"/>
                <w:color w:val="000000"/>
                <w:sz w:val="28"/>
                <w:szCs w:val="28"/>
              </w:rPr>
            </w:pPr>
          </w:p>
          <w:p w:rsidR="00C82F0C" w:rsidRDefault="00C82F0C" w:rsidP="00D20416">
            <w:pPr>
              <w:spacing w:after="0" w:line="240" w:lineRule="auto"/>
              <w:jc w:val="both"/>
              <w:rPr>
                <w:rFonts w:ascii="Times New Roman" w:hAnsi="Times New Roman"/>
                <w:color w:val="000000"/>
                <w:sz w:val="28"/>
                <w:szCs w:val="28"/>
              </w:rPr>
            </w:pPr>
          </w:p>
          <w:p w:rsidR="00C82F0C" w:rsidRDefault="00C82F0C" w:rsidP="00D20416">
            <w:pPr>
              <w:spacing w:after="0" w:line="240" w:lineRule="auto"/>
              <w:jc w:val="both"/>
              <w:rPr>
                <w:rFonts w:ascii="Times New Roman" w:hAnsi="Times New Roman"/>
                <w:color w:val="000000"/>
                <w:sz w:val="28"/>
                <w:szCs w:val="28"/>
              </w:rPr>
            </w:pPr>
          </w:p>
          <w:p w:rsidR="00C82F0C" w:rsidRDefault="00C82F0C" w:rsidP="00D20416">
            <w:pPr>
              <w:spacing w:after="0" w:line="240" w:lineRule="auto"/>
              <w:jc w:val="both"/>
              <w:rPr>
                <w:rFonts w:ascii="Times New Roman" w:hAnsi="Times New Roman"/>
                <w:color w:val="000000"/>
                <w:sz w:val="28"/>
                <w:szCs w:val="28"/>
              </w:rPr>
            </w:pPr>
          </w:p>
          <w:p w:rsidR="00C82F0C" w:rsidRDefault="00C82F0C" w:rsidP="00D20416">
            <w:pPr>
              <w:spacing w:after="0" w:line="240" w:lineRule="auto"/>
              <w:jc w:val="both"/>
              <w:rPr>
                <w:rFonts w:ascii="Times New Roman" w:hAnsi="Times New Roman"/>
                <w:color w:val="000000"/>
                <w:sz w:val="28"/>
                <w:szCs w:val="28"/>
              </w:rPr>
            </w:pPr>
          </w:p>
          <w:p w:rsidR="00C82F0C" w:rsidRPr="004F5386" w:rsidRDefault="00C82F0C" w:rsidP="00D20416">
            <w:pPr>
              <w:spacing w:after="0" w:line="240" w:lineRule="auto"/>
              <w:jc w:val="right"/>
              <w:rPr>
                <w:rFonts w:ascii="Times New Roman" w:hAnsi="Times New Roman"/>
                <w:color w:val="000000"/>
                <w:sz w:val="28"/>
                <w:szCs w:val="28"/>
              </w:rPr>
            </w:pPr>
            <w:r w:rsidRPr="004F5386">
              <w:rPr>
                <w:rFonts w:ascii="Times New Roman" w:hAnsi="Times New Roman"/>
                <w:color w:val="000000"/>
                <w:sz w:val="28"/>
                <w:szCs w:val="28"/>
              </w:rPr>
              <w:lastRenderedPageBreak/>
              <w:t>Приложение</w:t>
            </w:r>
          </w:p>
          <w:p w:rsidR="00C82F0C" w:rsidRDefault="00C82F0C" w:rsidP="00D20416">
            <w:pPr>
              <w:spacing w:after="0" w:line="240" w:lineRule="auto"/>
              <w:jc w:val="center"/>
              <w:outlineLvl w:val="3"/>
              <w:rPr>
                <w:rFonts w:ascii="Times New Roman" w:hAnsi="Times New Roman"/>
                <w:b/>
                <w:bCs/>
                <w:color w:val="003C80"/>
                <w:sz w:val="28"/>
                <w:szCs w:val="28"/>
              </w:rPr>
            </w:pPr>
            <w:r w:rsidRPr="004F5386">
              <w:rPr>
                <w:rFonts w:ascii="Times New Roman" w:hAnsi="Times New Roman"/>
                <w:b/>
                <w:bCs/>
                <w:color w:val="003C80"/>
                <w:sz w:val="28"/>
                <w:szCs w:val="28"/>
              </w:rPr>
              <w:t>Порядок</w:t>
            </w:r>
            <w:r w:rsidRPr="004F5386">
              <w:rPr>
                <w:rFonts w:ascii="Times New Roman" w:hAnsi="Times New Roman"/>
                <w:b/>
                <w:bCs/>
                <w:color w:val="003C80"/>
                <w:sz w:val="28"/>
                <w:szCs w:val="28"/>
              </w:rPr>
              <w:br/>
              <w:t>проведения аттестации педагогических работников организаций, осуществляющих образовательную деятельность</w:t>
            </w:r>
            <w:r w:rsidRPr="004F5386">
              <w:rPr>
                <w:rFonts w:ascii="Times New Roman" w:hAnsi="Times New Roman"/>
                <w:b/>
                <w:bCs/>
                <w:color w:val="003C80"/>
                <w:sz w:val="28"/>
                <w:szCs w:val="28"/>
              </w:rPr>
              <w:br/>
              <w:t xml:space="preserve">(утв. приказом Министерства образования и науки РФ </w:t>
            </w:r>
          </w:p>
          <w:p w:rsidR="00C82F0C" w:rsidRPr="004F5386" w:rsidRDefault="00C82F0C" w:rsidP="00D20416">
            <w:pPr>
              <w:spacing w:after="0" w:line="240" w:lineRule="auto"/>
              <w:jc w:val="center"/>
              <w:outlineLvl w:val="3"/>
              <w:rPr>
                <w:rFonts w:ascii="Times New Roman" w:hAnsi="Times New Roman"/>
                <w:b/>
                <w:bCs/>
                <w:color w:val="003C80"/>
                <w:sz w:val="28"/>
                <w:szCs w:val="28"/>
              </w:rPr>
            </w:pPr>
            <w:r w:rsidRPr="004F5386">
              <w:rPr>
                <w:rFonts w:ascii="Times New Roman" w:hAnsi="Times New Roman"/>
                <w:b/>
                <w:bCs/>
                <w:color w:val="003C80"/>
                <w:sz w:val="28"/>
                <w:szCs w:val="28"/>
              </w:rPr>
              <w:t>от 7 апреля 2014 г. № 276)</w:t>
            </w:r>
          </w:p>
          <w:p w:rsidR="00C82F0C" w:rsidRPr="004F5386" w:rsidRDefault="00C82F0C" w:rsidP="00D20416">
            <w:pPr>
              <w:spacing w:after="0" w:line="240" w:lineRule="auto"/>
              <w:jc w:val="both"/>
              <w:outlineLvl w:val="3"/>
              <w:rPr>
                <w:rFonts w:ascii="Times New Roman" w:hAnsi="Times New Roman"/>
                <w:b/>
                <w:bCs/>
                <w:color w:val="003C80"/>
                <w:sz w:val="28"/>
                <w:szCs w:val="28"/>
              </w:rPr>
            </w:pPr>
            <w:r w:rsidRPr="004F5386">
              <w:rPr>
                <w:rFonts w:ascii="Times New Roman" w:hAnsi="Times New Roman"/>
                <w:b/>
                <w:bCs/>
                <w:color w:val="003C80"/>
                <w:sz w:val="28"/>
                <w:szCs w:val="28"/>
              </w:rPr>
              <w:t>I. Общие положения</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Настоящий Порядок применяется 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 678 (Собрание законодательства Российской Федерации, 2013, №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категории*(1).</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3. Основными задачами проведения аттестации являются:</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определение необходимости повышения квалификации педагогических работников;</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повышение эффективности и качества педагогической деятельности;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выявление перспектив использования потенциальных возможностей педагогических работников;</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 xml:space="preserve">4. Основными принципами проведения аттестации являются </w:t>
            </w:r>
            <w:r w:rsidRPr="004F5386">
              <w:rPr>
                <w:rFonts w:ascii="Times New Roman" w:hAnsi="Times New Roman"/>
                <w:color w:val="000000"/>
                <w:sz w:val="28"/>
                <w:szCs w:val="28"/>
              </w:rPr>
              <w:lastRenderedPageBreak/>
              <w:t>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C82F0C" w:rsidRPr="004F5386" w:rsidRDefault="00C82F0C" w:rsidP="00D20416">
            <w:pPr>
              <w:spacing w:after="0" w:line="240" w:lineRule="auto"/>
              <w:jc w:val="both"/>
              <w:outlineLvl w:val="3"/>
              <w:rPr>
                <w:rFonts w:ascii="Times New Roman" w:hAnsi="Times New Roman"/>
                <w:b/>
                <w:bCs/>
                <w:color w:val="003C80"/>
                <w:sz w:val="28"/>
                <w:szCs w:val="28"/>
              </w:rPr>
            </w:pPr>
            <w:r w:rsidRPr="004F5386">
              <w:rPr>
                <w:rFonts w:ascii="Times New Roman" w:hAnsi="Times New Roman"/>
                <w:b/>
                <w:bCs/>
                <w:color w:val="003C80"/>
                <w:sz w:val="28"/>
                <w:szCs w:val="28"/>
              </w:rPr>
              <w:t>II. Аттестация педагогических работников в целях подтверждения соответствия занимаемой должности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организации)*(2).</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8. Аттестация педагогических работников проводится в соответствии с распорядительным актом работодателя.</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11. В представлении содержатся следующие сведения о педагогическом работнике:</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а) фамилия, имя, отчество (при наличии);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б) наименование должности на дату проведения аттестации;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в) дата заключения по этой должности трудового договора;</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г) уровень образования и (или) квалификации по специальности или направлению подготовки;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д) информация о получении дополнительного профессионального образования по профилю педагогической деятельности;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е) результаты предыдущих аттестаций (в случае их проведения);</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 xml:space="preserve">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w:t>
            </w:r>
            <w:r w:rsidRPr="004F5386">
              <w:rPr>
                <w:rFonts w:ascii="Times New Roman" w:hAnsi="Times New Roman"/>
                <w:color w:val="000000"/>
                <w:sz w:val="28"/>
                <w:szCs w:val="28"/>
              </w:rPr>
              <w:lastRenderedPageBreak/>
              <w:t>деятельность за период с даты предыдущей аттестации (при первичной аттестации - с даты поступления на работу).</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13. Аттестация проводится на заседании аттестационной комиссии организации с участием педагогического работника.</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Заседание аттестационной комиссии организации считается правомочным, если на нём присутствуют не менее двух третей от общего числа членов аттестационной комиссии организации.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15. По результатам аттестации педагогического работника аттестационная комиссия организации принимает одно из следующих решений:</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соответствует занимаемой должности (указывается должность педагогического работника);</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не соответствует занимаемой должности (указывается должность педагогического работника).</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 xml:space="preserve">19. Результаты аттестации педагогических работников заносятся в протокол, </w:t>
            </w:r>
            <w:r w:rsidRPr="004F5386">
              <w:rPr>
                <w:rFonts w:ascii="Times New Roman" w:hAnsi="Times New Roman"/>
                <w:color w:val="000000"/>
                <w:sz w:val="28"/>
                <w:szCs w:val="28"/>
              </w:rPr>
              <w:lastRenderedPageBreak/>
              <w:t>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22. Аттестацию в целях подтверждения соответствия занимаемой должности не проходят следующие педагогические работники: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а) педагогические работники, имеющие квалификационные категории;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б) проработавшие в занимаемой должности менее двух лет в организации, в которой проводится аттестация;</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в) беременные женщины;</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г) женщины, находящиеся в отпуске по беременности и родам;</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д) лица, находящиеся в отпуске по уходу за ребенком до достижения им возраста трех лет;</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е) отсутствовавшие на рабочем месте более четырех месяцев подряд в связи с заболеванием.</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 xml:space="preserve">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служащих*(3) и (или) профессиональными </w:t>
            </w:r>
            <w:r w:rsidRPr="004F5386">
              <w:rPr>
                <w:rFonts w:ascii="Times New Roman" w:hAnsi="Times New Roman"/>
                <w:color w:val="000000"/>
                <w:sz w:val="28"/>
                <w:szCs w:val="28"/>
              </w:rPr>
              <w:lastRenderedPageBreak/>
              <w:t>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C82F0C" w:rsidRPr="004F5386" w:rsidRDefault="00C82F0C" w:rsidP="00D20416">
            <w:pPr>
              <w:spacing w:after="0" w:line="240" w:lineRule="auto"/>
              <w:jc w:val="both"/>
              <w:outlineLvl w:val="3"/>
              <w:rPr>
                <w:rFonts w:ascii="Times New Roman" w:hAnsi="Times New Roman"/>
                <w:b/>
                <w:bCs/>
                <w:color w:val="003C80"/>
                <w:sz w:val="28"/>
                <w:szCs w:val="28"/>
              </w:rPr>
            </w:pPr>
            <w:r w:rsidRPr="004F5386">
              <w:rPr>
                <w:rFonts w:ascii="Times New Roman" w:hAnsi="Times New Roman"/>
                <w:b/>
                <w:bCs/>
                <w:color w:val="003C80"/>
                <w:sz w:val="28"/>
                <w:szCs w:val="28"/>
              </w:rPr>
              <w:t>III. Аттестация педагогических работников в целях установления квалификационной категории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24. Аттестация педагогических работников в целях установления квалификационной категории проводится по их желанию.</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По результатам аттестации педагогическим работникам устанавливается первая или высшая квалификационная категория.</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Квалификационная категория устанавливается сроком на 5 лет. Срок действия квалификационной категории продлению не подлежит.</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25. 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a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комиссии)*(4).</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В состав аттестационных комиссий включается представитель соответствующего профессионального союза.</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 xml:space="preserve">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w:t>
            </w:r>
            <w:r w:rsidRPr="004F5386">
              <w:rPr>
                <w:rFonts w:ascii="Times New Roman" w:hAnsi="Times New Roman"/>
                <w:color w:val="000000"/>
                <w:sz w:val="28"/>
                <w:szCs w:val="28"/>
              </w:rPr>
              <w:lastRenderedPageBreak/>
              <w:t>квалификационной категории.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б) осуществляется письменное уведомление педагогических работников о сроке и месте проведения их аттестации.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33. Продолжительность аттестации для каждого педагогического работника от начала её проведения и до принятия решения аттестационной комиссией составляет не более 60 календарных дней.</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34. Заседание аттестационной комиссии считается правомочным, если на нем присутствуют не менее двух третей от общего числа ее членов.</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36. Первая квалификационная категория педагогическим работникам устанавливается на основе:</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стабильных положительных результатов освоения обучающимися образовательных программ по итогам мониторингов, проводимых организацией;</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 662*(5);</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выявления развития у обучающихся способностей к научной (интеллектуальной), творческой, физкультурно-спортивной деятельности;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37. Высшая квалификационная категория педагогическим работникам устанавливается на основе:</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 xml:space="preserve">достижения обучающимися положительных результатов освоения </w:t>
            </w:r>
            <w:r w:rsidRPr="004F5386">
              <w:rPr>
                <w:rFonts w:ascii="Times New Roman" w:hAnsi="Times New Roman"/>
                <w:color w:val="000000"/>
                <w:sz w:val="28"/>
                <w:szCs w:val="28"/>
              </w:rPr>
              <w:lastRenderedPageBreak/>
              <w:t>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 662*(5);</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выявления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39. По результатам аттестации аттестационная комиссия принимает одно из следующих решений:</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Решение аттестационной комиссии вступает в силу со дня его вынесения.</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 xml:space="preserve">42. При принятии в отношении педагогического работника, имеющего первую квалификационную категорию, решения аттестационной комиссии </w:t>
            </w:r>
            <w:r w:rsidRPr="004F5386">
              <w:rPr>
                <w:rFonts w:ascii="Times New Roman" w:hAnsi="Times New Roman"/>
                <w:color w:val="000000"/>
                <w:sz w:val="28"/>
                <w:szCs w:val="28"/>
              </w:rPr>
              <w:lastRenderedPageBreak/>
              <w:t>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_____________________________</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*(1) Часть 1 статьи 49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*(2) Часть 2 статьи 49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*(3) 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 18638) с изменением, внесенным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lastRenderedPageBreak/>
              <w:t>*(4) Часть 3 статьи 49 Федерального закона от 29 декабря 2012 г. № 273-ФЗ «Об образовании в Российской Федерации» (Собрание законодательства Российской Федерации, 2012, № 53, ст. 7598; 2013, № 19, ст. 2326; 23, ст. 2878; № 27, ст. 3462; № 30, ст. 4036; № 48, ст. 6165; 2014, № 6, ст. 562, ст. 566)</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*(5) Постановление Правительства Российской Федерации от 5 августа 2013 г. № 662 «Об осуществлении мониторинга системы образования» (Собрание законодательства Российской Федерации, 2013, № 33, ст. 4378)</w:t>
            </w:r>
          </w:p>
          <w:p w:rsidR="00C82F0C" w:rsidRPr="004F5386" w:rsidRDefault="00C82F0C" w:rsidP="00D20416">
            <w:pPr>
              <w:spacing w:after="0" w:line="240" w:lineRule="auto"/>
              <w:jc w:val="both"/>
              <w:rPr>
                <w:rFonts w:ascii="Times New Roman" w:hAnsi="Times New Roman"/>
                <w:color w:val="000000"/>
                <w:sz w:val="28"/>
                <w:szCs w:val="28"/>
              </w:rPr>
            </w:pPr>
          </w:p>
          <w:p w:rsidR="00C82F0C" w:rsidRPr="004F5386" w:rsidRDefault="00C82F0C" w:rsidP="00D20416">
            <w:pPr>
              <w:pBdr>
                <w:bottom w:val="single" w:sz="4" w:space="0" w:color="F0F0F0"/>
              </w:pBdr>
              <w:spacing w:after="0" w:line="240" w:lineRule="auto"/>
              <w:jc w:val="both"/>
              <w:rPr>
                <w:rFonts w:ascii="Times New Roman" w:hAnsi="Times New Roman"/>
                <w:caps/>
                <w:color w:val="000000"/>
                <w:sz w:val="28"/>
                <w:szCs w:val="28"/>
              </w:rPr>
            </w:pPr>
            <w:bookmarkStart w:id="1" w:name="review"/>
            <w:bookmarkEnd w:id="1"/>
            <w:r w:rsidRPr="004F5386">
              <w:rPr>
                <w:rFonts w:ascii="Times New Roman" w:hAnsi="Times New Roman"/>
                <w:b/>
                <w:bCs/>
                <w:caps/>
                <w:color w:val="000000"/>
                <w:sz w:val="28"/>
                <w:szCs w:val="28"/>
              </w:rPr>
              <w:t>Обзор документа</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Установлен новый порядок аттестации педагогических работников образовательных организаций. Он не касается профессорско-преподавательского состава.</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Аттестации подлежат все педагогические работники, включая совместителей.</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Аттестационные комиссии в целях подтверждения соответствия работников занимаемой должности теперь самостоятельно формируются образовательными организациями. Периодичность проведения аттестации не изменилась - 1 раз в 5 лет. При этом работники, отсутствовавшие на работе по болезни более 4 месяцев подряд, проходят аттестацию не ранее чем через год после выхода на работу.</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Квалификационные категории (первая или высшая) устанавливаются педагогическим работникам по их желанию. Работники, имеющие квалификационную категорию, не проходят аттестацию в целях подтверждения соответствия занимаемой должности.</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Заявление на присвоение категории можно направить по почте или в электронном виде. Его также можно подать в период нахождения в отпуске по уходу за ребенком.</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Уточнены основания присвоения квалификационных категорий. При отказе в установлении категории работник может повторно обратиться за ее присвоением только через год.</w:t>
            </w:r>
          </w:p>
          <w:p w:rsidR="00C82F0C" w:rsidRPr="004F5386" w:rsidRDefault="00C82F0C" w:rsidP="00D2041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Ранее присвоенные квалификационные категории сохраняются в течение срока, на который они были установлены.</w:t>
            </w:r>
          </w:p>
        </w:tc>
      </w:tr>
      <w:tr w:rsidR="00C82F0C" w:rsidRPr="004F5386" w:rsidTr="00D20416">
        <w:trPr>
          <w:tblCellSpacing w:w="0" w:type="dxa"/>
        </w:trPr>
        <w:tc>
          <w:tcPr>
            <w:tcW w:w="0" w:type="auto"/>
            <w:shd w:val="clear" w:color="auto" w:fill="FFFFFF"/>
            <w:vAlign w:val="bottom"/>
            <w:hideMark/>
          </w:tcPr>
          <w:p w:rsidR="00C82F0C" w:rsidRPr="004F5386" w:rsidRDefault="00C82F0C" w:rsidP="00D20416">
            <w:pPr>
              <w:spacing w:after="0" w:line="240" w:lineRule="auto"/>
              <w:jc w:val="both"/>
              <w:rPr>
                <w:rFonts w:ascii="Times New Roman" w:hAnsi="Times New Roman"/>
                <w:sz w:val="28"/>
                <w:szCs w:val="28"/>
              </w:rPr>
            </w:pPr>
            <w:r>
              <w:rPr>
                <w:rFonts w:ascii="Times New Roman" w:hAnsi="Times New Roman"/>
                <w:noProof/>
                <w:sz w:val="28"/>
                <w:szCs w:val="28"/>
              </w:rPr>
              <w:lastRenderedPageBreak/>
              <w:drawing>
                <wp:inline distT="0" distB="0" distL="0" distR="0">
                  <wp:extent cx="28575" cy="28575"/>
                  <wp:effectExtent l="19050" t="0" r="9525" b="0"/>
                  <wp:docPr id="1" name="Рисунок 1" descr="http://www.garant.ru/images/www/all/cont_tab_ugol_l_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garant.ru/images/www/all/cont_tab_ugol_l_b.gif"/>
                          <pic:cNvPicPr>
                            <a:picLocks noChangeAspect="1" noChangeArrowheads="1"/>
                          </pic:cNvPicPr>
                        </pic:nvPicPr>
                        <pic:blipFill>
                          <a:blip r:embed="rId4"/>
                          <a:srcRect/>
                          <a:stretch>
                            <a:fillRect/>
                          </a:stretch>
                        </pic:blipFill>
                        <pic:spPr bwMode="auto">
                          <a:xfrm>
                            <a:off x="0" y="0"/>
                            <a:ext cx="28575" cy="28575"/>
                          </a:xfrm>
                          <a:prstGeom prst="rect">
                            <a:avLst/>
                          </a:prstGeom>
                          <a:noFill/>
                          <a:ln w="9525">
                            <a:noFill/>
                            <a:miter lim="800000"/>
                            <a:headEnd/>
                            <a:tailEnd/>
                          </a:ln>
                        </pic:spPr>
                      </pic:pic>
                    </a:graphicData>
                  </a:graphic>
                </wp:inline>
              </w:drawing>
            </w:r>
            <w:r>
              <w:rPr>
                <w:rFonts w:ascii="Times New Roman" w:hAnsi="Times New Roman"/>
                <w:noProof/>
                <w:sz w:val="28"/>
                <w:szCs w:val="28"/>
              </w:rPr>
              <w:drawing>
                <wp:inline distT="0" distB="0" distL="0" distR="0">
                  <wp:extent cx="28575" cy="28575"/>
                  <wp:effectExtent l="19050" t="0" r="9525" b="0"/>
                  <wp:docPr id="2" name="Рисунок 2" descr="http://www.garant.ru/images/www/all/cont_tab_ugol_r_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garant.ru/images/www/all/cont_tab_ugol_r_b.gif"/>
                          <pic:cNvPicPr>
                            <a:picLocks noChangeAspect="1" noChangeArrowheads="1"/>
                          </pic:cNvPicPr>
                        </pic:nvPicPr>
                        <pic:blipFill>
                          <a:blip r:embed="rId5"/>
                          <a:srcRect/>
                          <a:stretch>
                            <a:fillRect/>
                          </a:stretch>
                        </pic:blipFill>
                        <pic:spPr bwMode="auto">
                          <a:xfrm>
                            <a:off x="0" y="0"/>
                            <a:ext cx="28575" cy="28575"/>
                          </a:xfrm>
                          <a:prstGeom prst="rect">
                            <a:avLst/>
                          </a:prstGeom>
                          <a:noFill/>
                          <a:ln w="9525">
                            <a:noFill/>
                            <a:miter lim="800000"/>
                            <a:headEnd/>
                            <a:tailEnd/>
                          </a:ln>
                        </pic:spPr>
                      </pic:pic>
                    </a:graphicData>
                  </a:graphic>
                </wp:inline>
              </w:drawing>
            </w:r>
          </w:p>
        </w:tc>
      </w:tr>
    </w:tbl>
    <w:p w:rsidR="00C82F0C" w:rsidRPr="004F5386" w:rsidRDefault="00C82F0C" w:rsidP="00C82F0C">
      <w:pPr>
        <w:shd w:val="clear" w:color="auto" w:fill="6E97CD"/>
        <w:spacing w:after="0" w:line="240" w:lineRule="auto"/>
        <w:jc w:val="both"/>
        <w:rPr>
          <w:rFonts w:ascii="Times New Roman" w:hAnsi="Times New Roman"/>
          <w:vanish/>
          <w:color w:val="000000"/>
          <w:sz w:val="28"/>
          <w:szCs w:val="28"/>
        </w:rPr>
      </w:pPr>
    </w:p>
    <w:p w:rsidR="00C82F0C" w:rsidRPr="004F5386" w:rsidRDefault="00C82F0C" w:rsidP="00C82F0C">
      <w:pPr>
        <w:spacing w:after="0" w:line="240" w:lineRule="auto"/>
        <w:jc w:val="both"/>
        <w:rPr>
          <w:rFonts w:ascii="Times New Roman" w:hAnsi="Times New Roman"/>
          <w:sz w:val="28"/>
          <w:szCs w:val="28"/>
        </w:rPr>
      </w:pPr>
      <w:r w:rsidRPr="004F5386">
        <w:rPr>
          <w:rFonts w:ascii="Times New Roman" w:hAnsi="Times New Roman"/>
          <w:color w:val="000000"/>
          <w:sz w:val="28"/>
          <w:szCs w:val="28"/>
        </w:rPr>
        <w:br/>
      </w:r>
      <w:r w:rsidRPr="004F5386">
        <w:rPr>
          <w:rFonts w:ascii="Times New Roman" w:hAnsi="Times New Roman"/>
          <w:color w:val="000000"/>
          <w:sz w:val="28"/>
          <w:szCs w:val="28"/>
        </w:rPr>
        <w:br/>
        <w:t xml:space="preserve">ИА "ГАРАНТ": </w:t>
      </w:r>
      <w:hyperlink r:id="rId6" w:anchor="ixzz36xstE37Q" w:history="1">
        <w:r w:rsidRPr="004F5386">
          <w:rPr>
            <w:rFonts w:ascii="Times New Roman" w:hAnsi="Times New Roman"/>
            <w:color w:val="003399"/>
            <w:sz w:val="28"/>
            <w:szCs w:val="28"/>
          </w:rPr>
          <w:t>http://www.garant.ru/products/ipo/prime/doc/70562982/?prime#ixzz36xstE37Q</w:t>
        </w:r>
      </w:hyperlink>
    </w:p>
    <w:p w:rsidR="000D5FBF" w:rsidRDefault="000D5FBF"/>
    <w:sectPr w:rsidR="000D5F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82F0C"/>
    <w:rsid w:val="000D5FBF"/>
    <w:rsid w:val="00C82F0C"/>
    <w:rsid w:val="00D345E1"/>
    <w:rsid w:val="00E223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F0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2F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2F0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arant.ru/products/ipo/prime/doc/70562982/?prime"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3627</Words>
  <Characters>20678</Characters>
  <Application>Microsoft Office Word</Application>
  <DocSecurity>0</DocSecurity>
  <Lines>172</Lines>
  <Paragraphs>48</Paragraphs>
  <ScaleCrop>false</ScaleCrop>
  <Company>Reanimator Extreme Edition</Company>
  <LinksUpToDate>false</LinksUpToDate>
  <CharactersWithSpaces>24257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2017-12-26T20:36:00Z</dcterms:created>
  <dcterms:modified xsi:type="dcterms:W3CDTF">2017-12-26T20:37:00Z</dcterms:modified>
</cp:coreProperties>
</file>